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648DFC84" w:rsidR="005A7127" w:rsidRPr="00FC3F8A" w:rsidRDefault="003D287D" w:rsidP="003D287D">
      <w:hyperlink r:id="rId7" w:history="1">
        <w:r w:rsidRPr="00EE706E">
          <w:rPr>
            <w:rStyle w:val="Collegamentoipertestuale"/>
          </w:rPr>
          <w:t>https://it.marketscreener.com/notizie/ultimo/Banche-Panetta-Pmi-soffrono-accesso-credito-sostenere-meritevoli-49071440/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6187"/>
    <w:rsid w:val="00613AA9"/>
    <w:rsid w:val="006165A3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7682C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it.marketscreener.com/notizie/ultimo/Banche-Panetta-Pmi-soffrono-accesso-credito-sostenere-meritevoli-4907144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2025-02-24T13:10:00Z</dcterms:created>
  <dcterms:modified xsi:type="dcterms:W3CDTF">2025-02-24T13:11:00Z</dcterms:modified>
</cp:coreProperties>
</file>